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p>
    <w:p>
      <w:pPr>
        <w:pStyle w:val="Normal"/>
        <w:rPr/>
      </w:pPr>
      <w:r>
        <w:rPr>
          <w:b/>
          <w:bCs/>
          <w:sz w:val="40"/>
          <w:szCs w:val="40"/>
        </w:rPr>
        <w:t>Comanda de transport catre</w:t>
      </w:r>
      <w:r>
        <w:rPr/>
        <w:t xml:space="preserve"> .................................................…</w:t>
      </w:r>
    </w:p>
    <w:p>
      <w:pPr>
        <w:pStyle w:val="Normal"/>
        <w:rPr/>
      </w:pPr>
      <w:r>
        <w:rPr/>
      </w:r>
    </w:p>
    <w:p>
      <w:pPr>
        <w:pStyle w:val="Normal"/>
        <w:rPr/>
      </w:pPr>
      <w:r>
        <w:rPr/>
        <w:t>nr. ............. din ......../ ......./.........…</w:t>
      </w:r>
    </w:p>
    <w:p>
      <w:pPr>
        <w:pStyle w:val="Normal"/>
        <w:rPr/>
      </w:pPr>
      <w:r>
        <w:rPr/>
      </w:r>
    </w:p>
    <w:p>
      <w:pPr>
        <w:pStyle w:val="Normal"/>
        <w:rPr/>
      </w:pPr>
      <w:r>
        <w:rPr>
          <w:b/>
          <w:bCs/>
        </w:rPr>
        <w:t xml:space="preserve">Date Beneficiar </w:t>
      </w:r>
      <w:r>
        <w:rPr>
          <w:b/>
          <w:bCs/>
        </w:rPr>
        <w:t>(Client)</w:t>
      </w:r>
      <w:r>
        <w:rPr>
          <w:b/>
          <w:bCs/>
        </w:rPr>
        <w:t>,</w:t>
      </w:r>
      <w:r>
        <w:rPr/>
        <w:t>…………………………………………………………………………………………………………………………………………………………………………………………………………………………………………………………………………………………………………………………………………………………………………………………………………………………………………</w:t>
      </w:r>
    </w:p>
    <w:p>
      <w:pPr>
        <w:pStyle w:val="Normal"/>
        <w:rPr/>
      </w:pPr>
      <w:r>
        <w:rPr/>
      </w:r>
    </w:p>
    <w:p>
      <w:pPr>
        <w:pStyle w:val="Normal"/>
        <w:rPr/>
      </w:pPr>
      <w:r>
        <w:rPr>
          <w:b/>
          <w:bCs/>
        </w:rPr>
        <w:t xml:space="preserve">Date </w:t>
      </w:r>
      <w:r>
        <w:rPr>
          <w:b/>
          <w:bCs/>
        </w:rPr>
        <w:t>Furnizor (Transportator)</w:t>
      </w:r>
      <w:r>
        <w:rPr>
          <w:b/>
          <w:bCs/>
        </w:rPr>
        <w:t>,</w:t>
      </w:r>
      <w:r>
        <w:rPr/>
        <w:t>…………………………………………………………………………………………………………………………………………………………………………………………………………………………………………………………………………………………………………………………………………………………………………………………………………………………………………</w:t>
      </w:r>
    </w:p>
    <w:p>
      <w:pPr>
        <w:pStyle w:val="Normal"/>
        <w:rPr/>
      </w:pPr>
      <w:r>
        <w:rPr/>
      </w:r>
    </w:p>
    <w:p>
      <w:pPr>
        <w:pStyle w:val="Normal"/>
        <w:rPr/>
      </w:pPr>
      <w:r>
        <w:rPr/>
        <w:t xml:space="preserve">Persoana care se prezinta la incarcat: </w:t>
      </w:r>
    </w:p>
    <w:tbl>
      <w:tblPr>
        <w:tblW w:w="9645" w:type="dxa"/>
        <w:jc w:val="left"/>
        <w:tblInd w:w="0" w:type="dxa"/>
        <w:tblBorders>
          <w:top w:val="single" w:sz="2" w:space="0" w:color="000000"/>
          <w:left w:val="single" w:sz="2" w:space="0" w:color="000000"/>
          <w:bottom w:val="single" w:sz="2" w:space="0" w:color="000000"/>
          <w:insideH w:val="single" w:sz="2" w:space="0" w:color="000000"/>
        </w:tblBorders>
        <w:tblCellMar>
          <w:top w:w="55" w:type="dxa"/>
          <w:left w:w="55" w:type="dxa"/>
          <w:bottom w:w="55" w:type="dxa"/>
          <w:right w:w="55" w:type="dxa"/>
        </w:tblCellMar>
      </w:tblPr>
      <w:tblGrid>
        <w:gridCol w:w="3780"/>
        <w:gridCol w:w="1980"/>
        <w:gridCol w:w="1980"/>
        <w:gridCol w:w="1905"/>
      </w:tblGrid>
      <w:tr>
        <w:trPr/>
        <w:tc>
          <w:tcPr>
            <w:tcW w:w="3780" w:type="dxa"/>
            <w:tcBorders>
              <w:top w:val="single" w:sz="2" w:space="0" w:color="000000"/>
              <w:left w:val="single" w:sz="2" w:space="0" w:color="000000"/>
              <w:bottom w:val="single" w:sz="2" w:space="0" w:color="000000"/>
              <w:insideH w:val="single" w:sz="2" w:space="0" w:color="000000"/>
            </w:tcBorders>
            <w:shd w:fill="auto" w:val="clear"/>
          </w:tcPr>
          <w:p>
            <w:pPr>
              <w:pStyle w:val="TableContents"/>
              <w:rPr/>
            </w:pPr>
            <w:r>
              <w:rPr/>
              <w:t>Nume Prenume sofer:</w:t>
            </w:r>
          </w:p>
        </w:tc>
        <w:tc>
          <w:tcPr>
            <w:tcW w:w="1980" w:type="dxa"/>
            <w:tcBorders>
              <w:top w:val="single" w:sz="2" w:space="0" w:color="000000"/>
              <w:left w:val="single" w:sz="2" w:space="0" w:color="000000"/>
              <w:bottom w:val="single" w:sz="2" w:space="0" w:color="000000"/>
              <w:insideH w:val="single" w:sz="2" w:space="0" w:color="000000"/>
            </w:tcBorders>
            <w:shd w:fill="auto" w:val="clear"/>
          </w:tcPr>
          <w:p>
            <w:pPr>
              <w:pStyle w:val="TableContents"/>
              <w:rPr/>
            </w:pPr>
            <w:r>
              <w:rPr/>
              <w:t xml:space="preserve">Numar telefon </w:t>
            </w:r>
          </w:p>
        </w:tc>
        <w:tc>
          <w:tcPr>
            <w:tcW w:w="1980" w:type="dxa"/>
            <w:tcBorders>
              <w:top w:val="single" w:sz="2" w:space="0" w:color="000000"/>
              <w:left w:val="single" w:sz="2" w:space="0" w:color="000000"/>
              <w:bottom w:val="single" w:sz="2" w:space="0" w:color="000000"/>
              <w:insideH w:val="single" w:sz="2" w:space="0" w:color="000000"/>
            </w:tcBorders>
            <w:shd w:fill="auto" w:val="clear"/>
          </w:tcPr>
          <w:p>
            <w:pPr>
              <w:pStyle w:val="TableContents"/>
              <w:rPr/>
            </w:pPr>
            <w:r>
              <w:rPr/>
              <w:t xml:space="preserve">Tip Camion </w:t>
            </w:r>
          </w:p>
        </w:tc>
        <w:tc>
          <w:tcPr>
            <w:tcW w:w="190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leContents"/>
              <w:rPr/>
            </w:pPr>
            <w:r>
              <w:rPr/>
              <w:t>Numar auto</w:t>
            </w:r>
          </w:p>
        </w:tc>
      </w:tr>
      <w:tr>
        <w:trPr/>
        <w:tc>
          <w:tcPr>
            <w:tcW w:w="3780" w:type="dxa"/>
            <w:tcBorders>
              <w:left w:val="single" w:sz="2" w:space="0" w:color="000000"/>
              <w:bottom w:val="single" w:sz="2" w:space="0" w:color="000000"/>
              <w:insideH w:val="single" w:sz="2" w:space="0" w:color="000000"/>
            </w:tcBorders>
            <w:shd w:fill="auto" w:val="clear"/>
          </w:tcPr>
          <w:p>
            <w:pPr>
              <w:pStyle w:val="TableContents"/>
              <w:rPr/>
            </w:pPr>
            <w:r>
              <w:rPr/>
            </w:r>
          </w:p>
        </w:tc>
        <w:tc>
          <w:tcPr>
            <w:tcW w:w="1980" w:type="dxa"/>
            <w:tcBorders>
              <w:left w:val="single" w:sz="2" w:space="0" w:color="000000"/>
              <w:bottom w:val="single" w:sz="2" w:space="0" w:color="000000"/>
              <w:insideH w:val="single" w:sz="2" w:space="0" w:color="000000"/>
            </w:tcBorders>
            <w:shd w:fill="auto" w:val="clear"/>
          </w:tcPr>
          <w:p>
            <w:pPr>
              <w:pStyle w:val="TableContents"/>
              <w:rPr/>
            </w:pPr>
            <w:r>
              <w:rPr/>
            </w:r>
          </w:p>
        </w:tc>
        <w:tc>
          <w:tcPr>
            <w:tcW w:w="1980" w:type="dxa"/>
            <w:tcBorders>
              <w:left w:val="single" w:sz="2" w:space="0" w:color="000000"/>
              <w:bottom w:val="single" w:sz="2" w:space="0" w:color="000000"/>
              <w:insideH w:val="single" w:sz="2" w:space="0" w:color="000000"/>
            </w:tcBorders>
            <w:shd w:fill="auto" w:val="clear"/>
          </w:tcPr>
          <w:p>
            <w:pPr>
              <w:pStyle w:val="TableContents"/>
              <w:rPr/>
            </w:pPr>
            <w:r>
              <w:rPr/>
            </w:r>
          </w:p>
        </w:tc>
        <w:tc>
          <w:tcPr>
            <w:tcW w:w="1905"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leContents"/>
              <w:rPr/>
            </w:pPr>
            <w:r>
              <w:rPr/>
            </w:r>
          </w:p>
        </w:tc>
      </w:tr>
    </w:tbl>
    <w:p>
      <w:pPr>
        <w:pStyle w:val="Normal"/>
        <w:rPr/>
      </w:pPr>
      <w:r>
        <w:rPr/>
      </w:r>
    </w:p>
    <w:p>
      <w:pPr>
        <w:pStyle w:val="Normal"/>
        <w:rPr/>
      </w:pPr>
      <w:r>
        <w:rPr/>
      </w:r>
    </w:p>
    <w:p>
      <w:pPr>
        <w:pStyle w:val="Normal"/>
        <w:rPr>
          <w:b/>
          <w:b/>
          <w:bCs/>
          <w:sz w:val="26"/>
          <w:szCs w:val="26"/>
        </w:rPr>
      </w:pPr>
      <w:r>
        <w:rPr>
          <w:b/>
          <w:bCs/>
          <w:sz w:val="26"/>
          <w:szCs w:val="26"/>
        </w:rPr>
        <w:t>Art.</w:t>
      </w:r>
      <w:r>
        <w:rPr>
          <w:b/>
          <w:bCs/>
          <w:sz w:val="26"/>
          <w:szCs w:val="26"/>
        </w:rPr>
        <w:t>1</w:t>
      </w:r>
      <w:r>
        <w:rPr>
          <w:b/>
          <w:bCs/>
          <w:sz w:val="26"/>
          <w:szCs w:val="26"/>
        </w:rPr>
        <w:t xml:space="preserve">. </w:t>
      </w:r>
      <w:r>
        <w:rPr>
          <w:b/>
          <w:bCs/>
          <w:sz w:val="26"/>
          <w:szCs w:val="26"/>
        </w:rPr>
        <w:t>Obiectul si durata contractului</w:t>
      </w:r>
      <w:r>
        <w:rPr>
          <w:b/>
          <w:bCs/>
          <w:sz w:val="26"/>
          <w:szCs w:val="26"/>
        </w:rPr>
        <w:t>:</w:t>
      </w:r>
    </w:p>
    <w:p>
      <w:pPr>
        <w:pStyle w:val="Normal"/>
        <w:rPr/>
      </w:pPr>
      <w:r>
        <w:rPr/>
        <w:t>Transportul de marfa conform mentiunilor de mai jos; prezenta/ul comanda/contract intra in vigoare la data semnarii atat de beneficiar cat si de furnizor si inceteaza la data obligatiilor ambelor parti mai sus mentionate.</w:t>
      </w:r>
    </w:p>
    <w:p>
      <w:pPr>
        <w:pStyle w:val="Normal"/>
        <w:rPr/>
      </w:pPr>
      <w:r>
        <w:rPr/>
      </w:r>
    </w:p>
    <w:tbl>
      <w:tblPr>
        <w:tblW w:w="9720" w:type="dxa"/>
        <w:jc w:val="left"/>
        <w:tblInd w:w="0" w:type="dxa"/>
        <w:tblBorders>
          <w:top w:val="single" w:sz="2" w:space="0" w:color="000000"/>
          <w:left w:val="single" w:sz="2" w:space="0" w:color="000000"/>
          <w:bottom w:val="single" w:sz="2" w:space="0" w:color="000000"/>
          <w:insideH w:val="single" w:sz="2" w:space="0" w:color="000000"/>
        </w:tblBorders>
        <w:tblCellMar>
          <w:top w:w="55" w:type="dxa"/>
          <w:left w:w="55" w:type="dxa"/>
          <w:bottom w:w="55" w:type="dxa"/>
          <w:right w:w="55" w:type="dxa"/>
        </w:tblCellMar>
      </w:tblPr>
      <w:tblGrid>
        <w:gridCol w:w="3870"/>
        <w:gridCol w:w="5850"/>
      </w:tblGrid>
      <w:tr>
        <w:trPr/>
        <w:tc>
          <w:tcPr>
            <w:tcW w:w="3870" w:type="dxa"/>
            <w:tcBorders>
              <w:top w:val="single" w:sz="2" w:space="0" w:color="000000"/>
              <w:left w:val="single" w:sz="2" w:space="0" w:color="000000"/>
              <w:bottom w:val="single" w:sz="2" w:space="0" w:color="000000"/>
              <w:insideH w:val="single" w:sz="2" w:space="0" w:color="000000"/>
            </w:tcBorders>
            <w:shd w:fill="auto" w:val="clear"/>
          </w:tcPr>
          <w:p>
            <w:pPr>
              <w:pStyle w:val="TableContents"/>
              <w:rPr/>
            </w:pPr>
            <w:r>
              <w:rPr/>
              <w:t xml:space="preserve">Data Incarcarii:/ </w:t>
            </w:r>
            <w:r>
              <w:rPr/>
              <w:t>Interval Orar:</w:t>
            </w:r>
          </w:p>
        </w:tc>
        <w:tc>
          <w:tcPr>
            <w:tcW w:w="5850"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leContents"/>
              <w:rPr/>
            </w:pPr>
            <w:r>
              <w:rPr/>
            </w:r>
          </w:p>
        </w:tc>
      </w:tr>
      <w:tr>
        <w:trPr/>
        <w:tc>
          <w:tcPr>
            <w:tcW w:w="3870" w:type="dxa"/>
            <w:tcBorders>
              <w:left w:val="single" w:sz="2" w:space="0" w:color="000000"/>
              <w:bottom w:val="single" w:sz="2" w:space="0" w:color="000000"/>
              <w:insideH w:val="single" w:sz="2" w:space="0" w:color="000000"/>
            </w:tcBorders>
            <w:shd w:fill="auto" w:val="clear"/>
          </w:tcPr>
          <w:p>
            <w:pPr>
              <w:pStyle w:val="TableContents"/>
              <w:rPr/>
            </w:pPr>
            <w:r>
              <w:rPr/>
              <w:t>Adresa completa de incarcar</w:t>
            </w:r>
            <w:r>
              <w:rPr/>
              <w:t>e</w:t>
            </w:r>
            <w:r>
              <w:rPr/>
              <w:t>:</w:t>
            </w:r>
          </w:p>
          <w:p>
            <w:pPr>
              <w:pStyle w:val="TableContents"/>
              <w:rPr/>
            </w:pPr>
            <w:r>
              <w:rPr/>
            </w:r>
          </w:p>
          <w:p>
            <w:pPr>
              <w:pStyle w:val="TableContents"/>
              <w:rPr/>
            </w:pPr>
            <w:r>
              <w:rPr/>
            </w:r>
          </w:p>
        </w:tc>
        <w:tc>
          <w:tcPr>
            <w:tcW w:w="5850"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leContents"/>
              <w:rPr/>
            </w:pPr>
            <w:r>
              <w:rPr/>
            </w:r>
          </w:p>
        </w:tc>
      </w:tr>
      <w:tr>
        <w:trPr/>
        <w:tc>
          <w:tcPr>
            <w:tcW w:w="3870" w:type="dxa"/>
            <w:tcBorders>
              <w:left w:val="single" w:sz="2" w:space="0" w:color="000000"/>
              <w:bottom w:val="single" w:sz="2" w:space="0" w:color="000000"/>
              <w:insideH w:val="single" w:sz="2" w:space="0" w:color="000000"/>
            </w:tcBorders>
            <w:shd w:fill="auto" w:val="clear"/>
          </w:tcPr>
          <w:p>
            <w:pPr>
              <w:pStyle w:val="TableContents"/>
              <w:rPr/>
            </w:pPr>
            <w:r>
              <w:rPr/>
              <w:t>Persoana de contact la incarcare Nume Prenume/ Numar Telefon</w:t>
            </w:r>
          </w:p>
        </w:tc>
        <w:tc>
          <w:tcPr>
            <w:tcW w:w="5850"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leContents"/>
              <w:rPr/>
            </w:pPr>
            <w:r>
              <w:rPr/>
            </w:r>
          </w:p>
        </w:tc>
      </w:tr>
      <w:tr>
        <w:trPr/>
        <w:tc>
          <w:tcPr>
            <w:tcW w:w="3870" w:type="dxa"/>
            <w:tcBorders>
              <w:left w:val="single" w:sz="2" w:space="0" w:color="000000"/>
              <w:bottom w:val="single" w:sz="2" w:space="0" w:color="000000"/>
              <w:insideH w:val="single" w:sz="2" w:space="0" w:color="000000"/>
            </w:tcBorders>
            <w:shd w:fill="auto" w:val="clear"/>
          </w:tcPr>
          <w:p>
            <w:pPr>
              <w:pStyle w:val="TableContents"/>
              <w:rPr/>
            </w:pPr>
            <w:r>
              <w:rPr/>
              <w:t>Descriere Marfa: / Modul de ambalare:</w:t>
            </w:r>
          </w:p>
        </w:tc>
        <w:tc>
          <w:tcPr>
            <w:tcW w:w="5850"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leContents"/>
              <w:rPr/>
            </w:pPr>
            <w:r>
              <w:rPr/>
            </w:r>
          </w:p>
        </w:tc>
      </w:tr>
      <w:tr>
        <w:trPr/>
        <w:tc>
          <w:tcPr>
            <w:tcW w:w="3870" w:type="dxa"/>
            <w:tcBorders>
              <w:left w:val="single" w:sz="2" w:space="0" w:color="000000"/>
              <w:bottom w:val="single" w:sz="2" w:space="0" w:color="000000"/>
              <w:insideH w:val="single" w:sz="2" w:space="0" w:color="000000"/>
            </w:tcBorders>
            <w:shd w:fill="auto" w:val="clear"/>
          </w:tcPr>
          <w:p>
            <w:pPr>
              <w:pStyle w:val="TableContents"/>
              <w:rPr/>
            </w:pPr>
            <w:r>
              <w:rPr/>
              <w:t>Greutate marfa:</w:t>
            </w:r>
          </w:p>
        </w:tc>
        <w:tc>
          <w:tcPr>
            <w:tcW w:w="5850"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leContents"/>
              <w:rPr/>
            </w:pPr>
            <w:r>
              <w:rPr/>
            </w:r>
          </w:p>
        </w:tc>
      </w:tr>
      <w:tr>
        <w:trPr/>
        <w:tc>
          <w:tcPr>
            <w:tcW w:w="3870" w:type="dxa"/>
            <w:tcBorders>
              <w:left w:val="single" w:sz="2" w:space="0" w:color="000000"/>
              <w:bottom w:val="single" w:sz="2" w:space="0" w:color="000000"/>
              <w:insideH w:val="single" w:sz="2" w:space="0" w:color="000000"/>
            </w:tcBorders>
            <w:shd w:fill="auto" w:val="clear"/>
          </w:tcPr>
          <w:p>
            <w:pPr>
              <w:pStyle w:val="TableContents"/>
              <w:rPr/>
            </w:pPr>
            <w:r>
              <w:rPr/>
              <w:t xml:space="preserve">Data </w:t>
            </w:r>
            <w:r>
              <w:rPr/>
              <w:t>descarcarii:</w:t>
            </w:r>
            <w:r>
              <w:rPr/>
              <w:t xml:space="preserve"> / </w:t>
            </w:r>
            <w:r>
              <w:rPr/>
              <w:t>Interval Orar:</w:t>
            </w:r>
          </w:p>
        </w:tc>
        <w:tc>
          <w:tcPr>
            <w:tcW w:w="5850"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leContents"/>
              <w:rPr/>
            </w:pPr>
            <w:r>
              <w:rPr/>
            </w:r>
          </w:p>
        </w:tc>
      </w:tr>
      <w:tr>
        <w:trPr/>
        <w:tc>
          <w:tcPr>
            <w:tcW w:w="3870" w:type="dxa"/>
            <w:tcBorders>
              <w:left w:val="single" w:sz="2" w:space="0" w:color="000000"/>
              <w:bottom w:val="single" w:sz="2" w:space="0" w:color="000000"/>
              <w:insideH w:val="single" w:sz="2" w:space="0" w:color="000000"/>
            </w:tcBorders>
            <w:shd w:fill="auto" w:val="clear"/>
          </w:tcPr>
          <w:p>
            <w:pPr>
              <w:pStyle w:val="TableContents"/>
              <w:rPr/>
            </w:pPr>
            <w:r>
              <w:rPr/>
              <w:t xml:space="preserve">Adresa completa </w:t>
            </w:r>
            <w:r>
              <w:rPr/>
              <w:t>la descarcare:</w:t>
            </w:r>
          </w:p>
          <w:p>
            <w:pPr>
              <w:pStyle w:val="TableContents"/>
              <w:rPr/>
            </w:pPr>
            <w:r>
              <w:rPr/>
            </w:r>
          </w:p>
          <w:p>
            <w:pPr>
              <w:pStyle w:val="TableContents"/>
              <w:rPr/>
            </w:pPr>
            <w:r>
              <w:rPr/>
            </w:r>
          </w:p>
        </w:tc>
        <w:tc>
          <w:tcPr>
            <w:tcW w:w="5850"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leContents"/>
              <w:rPr/>
            </w:pPr>
            <w:r>
              <w:rPr/>
            </w:r>
          </w:p>
        </w:tc>
      </w:tr>
      <w:tr>
        <w:trPr/>
        <w:tc>
          <w:tcPr>
            <w:tcW w:w="3870" w:type="dxa"/>
            <w:tcBorders>
              <w:left w:val="single" w:sz="2" w:space="0" w:color="000000"/>
              <w:bottom w:val="single" w:sz="2" w:space="0" w:color="000000"/>
              <w:insideH w:val="single" w:sz="2" w:space="0" w:color="000000"/>
            </w:tcBorders>
            <w:shd w:fill="auto" w:val="clear"/>
          </w:tcPr>
          <w:p>
            <w:pPr>
              <w:pStyle w:val="TableContents"/>
              <w:rPr/>
            </w:pPr>
            <w:r>
              <w:rPr/>
              <w:t xml:space="preserve">Persoana de contact la </w:t>
            </w:r>
            <w:r>
              <w:rPr/>
              <w:t>des</w:t>
            </w:r>
            <w:r>
              <w:rPr/>
              <w:t>carcare: Nume Prenume/ Numar Telefon</w:t>
            </w:r>
          </w:p>
        </w:tc>
        <w:tc>
          <w:tcPr>
            <w:tcW w:w="5850"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leContents"/>
              <w:rPr/>
            </w:pPr>
            <w:r>
              <w:rPr/>
            </w:r>
          </w:p>
          <w:p>
            <w:pPr>
              <w:pStyle w:val="TableContents"/>
              <w:rPr/>
            </w:pPr>
            <w:r>
              <w:rPr/>
            </w:r>
          </w:p>
        </w:tc>
      </w:tr>
    </w:tbl>
    <w:p>
      <w:pPr>
        <w:pStyle w:val="Normal"/>
        <w:rPr>
          <w:sz w:val="22"/>
          <w:szCs w:val="22"/>
        </w:rPr>
      </w:pPr>
      <w:r>
        <w:rPr>
          <w:sz w:val="22"/>
          <w:szCs w:val="22"/>
        </w:rPr>
      </w:r>
    </w:p>
    <w:p>
      <w:pPr>
        <w:pStyle w:val="Normal"/>
        <w:jc w:val="left"/>
        <w:rPr>
          <w:sz w:val="28"/>
          <w:szCs w:val="28"/>
        </w:rPr>
      </w:pPr>
      <w:r>
        <w:rPr>
          <w:b/>
          <w:bCs/>
          <w:sz w:val="28"/>
          <w:szCs w:val="28"/>
        </w:rPr>
        <w:t>Pret: …………………………</w:t>
      </w:r>
      <w:r>
        <w:rPr>
          <w:b/>
          <w:bCs/>
          <w:sz w:val="28"/>
          <w:szCs w:val="28"/>
        </w:rPr>
        <w:t xml:space="preserve"> </w:t>
      </w:r>
      <w:r>
        <w:rPr>
          <w:sz w:val="28"/>
          <w:szCs w:val="28"/>
        </w:rPr>
        <w:t xml:space="preserve"> □ TVA  inclus  </w:t>
      </w:r>
      <w:r>
        <w:rPr>
          <w:b/>
          <w:bCs/>
          <w:sz w:val="28"/>
          <w:szCs w:val="28"/>
        </w:rPr>
        <w:t xml:space="preserve"> </w:t>
      </w:r>
      <w:r>
        <w:rPr>
          <w:sz w:val="28"/>
          <w:szCs w:val="28"/>
        </w:rPr>
        <w:t>□ + TVA</w:t>
      </w:r>
      <w:r>
        <w:rPr>
          <w:sz w:val="28"/>
          <w:szCs w:val="28"/>
        </w:rPr>
        <w:t xml:space="preserve">  </w:t>
      </w:r>
    </w:p>
    <w:p>
      <w:pPr>
        <w:pStyle w:val="Normal"/>
        <w:jc w:val="left"/>
        <w:rPr>
          <w:sz w:val="28"/>
          <w:szCs w:val="28"/>
        </w:rPr>
      </w:pPr>
      <w:r>
        <w:rPr>
          <w:b/>
          <w:bCs/>
          <w:sz w:val="28"/>
          <w:szCs w:val="28"/>
        </w:rPr>
        <w:t xml:space="preserve">Metoda de plata: </w:t>
      </w:r>
      <w:r>
        <w:rPr>
          <w:sz w:val="28"/>
          <w:szCs w:val="28"/>
        </w:rPr>
        <w:t xml:space="preserve">    □ numerar     □ ordin de plata   □ bilet la ordin    □ cec  </w:t>
      </w:r>
    </w:p>
    <w:p>
      <w:pPr>
        <w:pStyle w:val="Normal"/>
        <w:jc w:val="left"/>
        <w:rPr>
          <w:sz w:val="28"/>
          <w:szCs w:val="28"/>
        </w:rPr>
      </w:pPr>
      <w:r>
        <w:rPr>
          <w:b/>
          <w:bCs/>
          <w:sz w:val="28"/>
          <w:szCs w:val="28"/>
        </w:rPr>
        <w:t>Termen de plata:</w:t>
      </w:r>
      <w:r>
        <w:rPr>
          <w:sz w:val="28"/>
          <w:szCs w:val="28"/>
        </w:rPr>
        <w:t xml:space="preserve">  □ la descarcare □ 15 zile   □ 30 zile  □ ..............…</w:t>
      </w:r>
    </w:p>
    <w:p>
      <w:pPr>
        <w:pStyle w:val="Normal"/>
        <w:jc w:val="left"/>
        <w:rPr>
          <w:sz w:val="24"/>
          <w:szCs w:val="24"/>
        </w:rPr>
      </w:pPr>
      <w:r>
        <w:rPr>
          <w:sz w:val="24"/>
          <w:szCs w:val="24"/>
        </w:rPr>
      </w:r>
    </w:p>
    <w:p>
      <w:pPr>
        <w:pStyle w:val="Normal"/>
        <w:jc w:val="left"/>
        <w:rPr>
          <w:color w:val="auto"/>
          <w:sz w:val="24"/>
          <w:szCs w:val="24"/>
        </w:rPr>
      </w:pPr>
      <w:r>
        <w:rPr>
          <w:color w:val="auto"/>
          <w:sz w:val="24"/>
          <w:szCs w:val="24"/>
        </w:rPr>
        <w:t>In cazul in care pe durata transportului se constata de catre organele de control abilitate de lege, ca s-a depasit greutatea maxima sau dimensiunile de gabarit admise prin lege, corespunzatoare</w:t>
      </w:r>
    </w:p>
    <w:p>
      <w:pPr>
        <w:pStyle w:val="Normal"/>
        <w:jc w:val="left"/>
        <w:rPr>
          <w:color w:val="auto"/>
          <w:sz w:val="24"/>
          <w:szCs w:val="24"/>
        </w:rPr>
      </w:pPr>
      <w:r>
        <w:rPr>
          <w:color w:val="auto"/>
          <w:sz w:val="24"/>
          <w:szCs w:val="24"/>
        </w:rPr>
        <w:t>categoriei de drum pe care se efectueaza transportul, iar beneficiarul nu a anuntat  in scris pentru a obtine autorizatiile necesare efectuarii transportului respectiv, beneficiarul se obliga sa suporte toate amenzile si penalitatile care se aplica transportatorului.</w:t>
      </w:r>
    </w:p>
    <w:p>
      <w:pPr>
        <w:pStyle w:val="Normal"/>
        <w:ind w:left="-269" w:right="-449" w:hanging="0"/>
        <w:jc w:val="left"/>
        <w:rPr/>
      </w:pPr>
      <w:r>
        <w:rPr/>
      </w:r>
    </w:p>
    <w:p>
      <w:pPr>
        <w:pStyle w:val="Normal"/>
        <w:rPr>
          <w:b/>
          <w:b/>
          <w:bCs/>
          <w:color w:val="000000"/>
          <w:sz w:val="26"/>
          <w:szCs w:val="26"/>
        </w:rPr>
      </w:pPr>
      <w:r>
        <w:rPr>
          <w:b/>
          <w:bCs/>
          <w:color w:val="000000"/>
          <w:sz w:val="26"/>
          <w:szCs w:val="26"/>
        </w:rPr>
        <w:t>Art.2. Termeni si conditii:</w:t>
      </w:r>
    </w:p>
    <w:p>
      <w:pPr>
        <w:pStyle w:val="Normal"/>
        <w:rPr>
          <w:color w:val="000000"/>
        </w:rPr>
      </w:pPr>
      <w:r>
        <w:rPr>
          <w:color w:val="000000"/>
        </w:rPr>
        <w:t>1. Transportul se desfasoara impreuna cu scrisoarea de transport – CMR, factura si impreuna cu orice alte documente necesare, toate in original; urmand ca acestea sa ajunga prin post/curierat la adresa beneficiarului dupa desfasurarea transportului.</w:t>
      </w:r>
    </w:p>
    <w:p>
      <w:pPr>
        <w:pStyle w:val="Normal"/>
        <w:rPr>
          <w:color w:val="000000"/>
        </w:rPr>
      </w:pPr>
      <w:r>
        <w:rPr>
          <w:color w:val="000000"/>
        </w:rPr>
        <w:t>2. Transportatorul este direct respunzator de pentru deteriorarea/ distrugerea/ pierderea/ furtul marfii pe durata efectuarii transportului.</w:t>
      </w:r>
    </w:p>
    <w:p>
      <w:pPr>
        <w:pStyle w:val="Normal"/>
        <w:rPr>
          <w:color w:val="000000"/>
        </w:rPr>
      </w:pPr>
      <w:r>
        <w:rPr>
          <w:color w:val="000000"/>
        </w:rPr>
        <w:t xml:space="preserve">3. </w:t>
      </w:r>
      <w:r>
        <w:rPr>
          <w:color w:val="000000"/>
        </w:rPr>
        <w:t>Transportatorul (reprezentat prin sofer) are obligatia de a prelua marfa si a verifica daca aceasta corespunde calitativ si canttativ cu marfa mentionata pe avizul de insotire a marfii sau pe factura. In cazul in care transportatorul are rezerve in ceea ce privewste starea marfurilor are obligatia de a anunta acest lucru si de a mentiona in mod expres in momentul incarcarii neregurile semnalate pe CMR. In caz contrar se prezuma ca marfurile corespund din punct de vedere calitativ si cantitativ si nu prezinta niciun fel de viciu.</w:t>
      </w:r>
    </w:p>
    <w:p>
      <w:pPr>
        <w:pStyle w:val="Normal"/>
        <w:rPr>
          <w:color w:val="000000"/>
        </w:rPr>
      </w:pPr>
      <w:r>
        <w:rPr>
          <w:color w:val="000000"/>
        </w:rPr>
        <w:t>4</w:t>
      </w:r>
      <w:r>
        <w:rPr>
          <w:color w:val="000000"/>
        </w:rPr>
        <w:t xml:space="preserve">. </w:t>
      </w:r>
      <w:r>
        <w:rPr>
          <w:color w:val="000000"/>
        </w:rPr>
        <w:t>Neprezentarea la incarcare in data stabilita, dupa confirmarea comenzii, da drept beneficiarului de a se indrepta si a pretinde transportatorului daune interese calculate la nivelul prejudiciului produs acestia.</w:t>
      </w:r>
    </w:p>
    <w:p>
      <w:pPr>
        <w:pStyle w:val="Normal"/>
        <w:rPr>
          <w:color w:val="000000"/>
        </w:rPr>
      </w:pPr>
      <w:r>
        <w:rPr>
          <w:color w:val="000000"/>
        </w:rPr>
        <w:t>5</w:t>
      </w:r>
      <w:r>
        <w:rPr>
          <w:color w:val="000000"/>
        </w:rPr>
        <w:t xml:space="preserve">. Renuntarea de catre beneficiar </w:t>
      </w:r>
      <w:r>
        <w:rPr>
          <w:color w:val="000000"/>
        </w:rPr>
        <w:t>sau transportator</w:t>
      </w:r>
      <w:r>
        <w:rPr>
          <w:color w:val="000000"/>
        </w:rPr>
        <w:t xml:space="preserve"> dupa confirmarea comenzii genereaza in sarcina acestuia obligatia platii unei penalizari de 50 euro, suplimentar fata de celelalte daune pe care furnizorul / </w:t>
      </w:r>
      <w:r>
        <w:rPr>
          <w:color w:val="000000"/>
        </w:rPr>
        <w:t xml:space="preserve">beneficiarul </w:t>
      </w:r>
      <w:r>
        <w:rPr>
          <w:color w:val="000000"/>
        </w:rPr>
        <w:t xml:space="preserve"> va dovedi ca s-au produs in urma actului renuntarii.</w:t>
      </w:r>
    </w:p>
    <w:p>
      <w:pPr>
        <w:pStyle w:val="Normal"/>
        <w:rPr>
          <w:color w:val="000000"/>
        </w:rPr>
      </w:pPr>
      <w:r>
        <w:rPr>
          <w:color w:val="000000"/>
        </w:rPr>
        <w:t>6</w:t>
      </w:r>
      <w:r>
        <w:rPr>
          <w:color w:val="000000"/>
        </w:rPr>
        <w:t>. Este interzisa transbordarea marfii fara acordul beneficiarului si fara a avea motive intemeiate in acest sens.</w:t>
      </w:r>
    </w:p>
    <w:p>
      <w:pPr>
        <w:pStyle w:val="Normal"/>
        <w:rPr>
          <w:color w:val="000000"/>
        </w:rPr>
      </w:pPr>
      <w:r>
        <w:rPr>
          <w:color w:val="000000"/>
        </w:rPr>
        <w:t>7</w:t>
      </w:r>
      <w:r>
        <w:rPr>
          <w:color w:val="000000"/>
        </w:rPr>
        <w:t>. Beneficiarul raspunde pentru inexactitatea datelor furnizate la momentul contractarii precum si pentru prejudiciile aduse direct sau indirect furnizorului prin incarcarea defectuoasa a marfurilor.</w:t>
      </w:r>
    </w:p>
    <w:p>
      <w:pPr>
        <w:pStyle w:val="Normal"/>
        <w:rPr>
          <w:color w:val="000000"/>
        </w:rPr>
      </w:pPr>
      <w:r>
        <w:rPr>
          <w:color w:val="000000"/>
        </w:rPr>
        <w:t>8. In cazul in care in momentul descarcarii nu se fac obiectii conducatorului auto cu</w:t>
      </w:r>
    </w:p>
    <w:p>
      <w:pPr>
        <w:pStyle w:val="Normal"/>
        <w:rPr>
          <w:color w:val="000000"/>
        </w:rPr>
      </w:pPr>
      <w:r>
        <w:rPr>
          <w:color w:val="000000"/>
        </w:rPr>
        <w:t>privire la calitatea si/sau cantitatea mafurilor, obiectii ce trebuiesc neaparat mentionate si pe scrisoarea de transport – CMR, orice reclamatii ulterioare nu vor fi luate in considerare iar furnizorul este exonerat de orice culpa.</w:t>
      </w:r>
    </w:p>
    <w:p>
      <w:pPr>
        <w:pStyle w:val="Normal"/>
        <w:rPr>
          <w:color w:val="000000"/>
        </w:rPr>
      </w:pPr>
      <w:r>
        <w:rPr>
          <w:color w:val="000000"/>
        </w:rPr>
        <w:t xml:space="preserve">9. Neachitarea in termenul convenit a contravalorii transportului atrage in sarcina beneficiarului penalizari de intarziere in procent de </w:t>
      </w:r>
      <w:r>
        <w:rPr>
          <w:color w:val="000000"/>
        </w:rPr>
        <w:t>0.5</w:t>
      </w:r>
      <w:r>
        <w:rPr>
          <w:color w:val="000000"/>
        </w:rPr>
        <w:t>% din suma datorata pentru fiecare zi de intarziere.</w:t>
      </w:r>
    </w:p>
    <w:p>
      <w:pPr>
        <w:pStyle w:val="Normal"/>
        <w:rPr>
          <w:color w:val="000000"/>
        </w:rPr>
      </w:pPr>
      <w:r>
        <w:rPr>
          <w:color w:val="000000"/>
        </w:rPr>
        <w:t>10</w:t>
      </w:r>
      <w:r>
        <w:rPr>
          <w:color w:val="000000"/>
        </w:rPr>
        <w:t>. Pentru orice modificare a dimensiunilor, greutatilor marfii sau modificarea locatiilor de incarcare sau de descarcare, tariful se va renegocia prin act aditional.</w:t>
      </w:r>
    </w:p>
    <w:p>
      <w:pPr>
        <w:pStyle w:val="Normal"/>
        <w:rPr>
          <w:color w:val="000000"/>
        </w:rPr>
      </w:pPr>
      <w:r>
        <w:rPr>
          <w:color w:val="000000"/>
        </w:rPr>
        <w:t>1</w:t>
      </w:r>
      <w:r>
        <w:rPr>
          <w:color w:val="000000"/>
        </w:rPr>
        <w:t>1</w:t>
      </w:r>
      <w:r>
        <w:rPr>
          <w:color w:val="000000"/>
        </w:rPr>
        <w:t xml:space="preserve">. </w:t>
      </w:r>
      <w:r>
        <w:rPr>
          <w:b w:val="false"/>
          <w:bCs w:val="false"/>
          <w:color w:val="000000"/>
        </w:rPr>
        <w:t>Neintelegereile dintre partile contractante in legatura cu clauzele si executarea prezentului contract se vor solutiona pe cale amiabila, daca acest lucru nu este posibil va fi sesizata instanta judecotareasca competenta.</w:t>
      </w:r>
    </w:p>
    <w:p>
      <w:pPr>
        <w:pStyle w:val="Normal"/>
        <w:rPr>
          <w:b/>
          <w:b/>
          <w:bCs/>
          <w:color w:val="000000"/>
        </w:rPr>
      </w:pPr>
      <w:r>
        <w:rPr>
          <w:b/>
          <w:bCs/>
          <w:color w:val="000000"/>
        </w:rPr>
      </w:r>
    </w:p>
    <w:p>
      <w:pPr>
        <w:pStyle w:val="Normal"/>
        <w:rPr>
          <w:b/>
          <w:b/>
          <w:bCs/>
          <w:color w:val="CE181E"/>
        </w:rPr>
      </w:pPr>
      <w:r>
        <w:rPr>
          <w:b/>
          <w:bCs/>
          <w:color w:val="CE181E"/>
        </w:rPr>
      </w:r>
    </w:p>
    <w:p>
      <w:pPr>
        <w:pStyle w:val="Normal"/>
        <w:rPr>
          <w:b/>
          <w:b/>
          <w:bCs/>
          <w:color w:val="CE181E"/>
        </w:rPr>
      </w:pPr>
      <w:r>
        <w:rPr>
          <w:b/>
          <w:bCs/>
          <w:color w:val="CE181E"/>
        </w:rPr>
      </w:r>
    </w:p>
    <w:p>
      <w:pPr>
        <w:pStyle w:val="Normal"/>
        <w:rPr>
          <w:b/>
          <w:b/>
          <w:bCs/>
          <w:color w:val="CE181E"/>
        </w:rPr>
      </w:pPr>
      <w:r>
        <w:rPr>
          <w:b/>
          <w:bCs/>
          <w:color w:val="CE181E"/>
        </w:rPr>
      </w:r>
    </w:p>
    <w:p>
      <w:pPr>
        <w:pStyle w:val="Normal"/>
        <w:jc w:val="left"/>
        <w:rPr>
          <w:color w:val="auto"/>
        </w:rPr>
      </w:pPr>
      <w:r>
        <w:rPr>
          <w:b/>
          <w:bCs/>
          <w:color w:val="auto"/>
        </w:rPr>
        <w:t xml:space="preserve">                </w:t>
      </w:r>
      <w:r>
        <w:rPr>
          <w:b/>
          <w:bCs/>
          <w:color w:val="auto"/>
        </w:rPr>
        <w:t>B</w:t>
      </w:r>
      <w:r>
        <w:rPr>
          <w:b/>
          <w:bCs/>
          <w:color w:val="auto"/>
        </w:rPr>
        <w:t>eneficiar</w:t>
        <w:tab/>
        <w:tab/>
        <w:tab/>
        <w:tab/>
        <w:tab/>
        <w:tab/>
        <w:tab/>
        <w:t>Furnizor,</w:t>
      </w:r>
    </w:p>
    <w:sectPr>
      <w:type w:val="nextPage"/>
      <w:pgSz w:w="11906" w:h="16838"/>
      <w:pgMar w:left="1134" w:right="1134" w:header="0" w:top="1134" w:footer="0" w:bottom="113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FreeSans"/>
        <w:kern w:val="2"/>
        <w:sz w:val="24"/>
        <w:szCs w:val="24"/>
        <w:lang w:val="en-US" w:eastAsia="zh-CN" w:bidi="hi-IN"/>
      </w:rPr>
    </w:rPrDefault>
    <w:pPrDefault>
      <w:pPr>
        <w:widowControl/>
      </w:pPr>
    </w:pPrDefault>
  </w:docDefaults>
  <w:style w:type="paragraph" w:styleId="Normal">
    <w:name w:val="Normal"/>
    <w:qFormat/>
    <w:pPr>
      <w:widowControl/>
      <w:kinsoku w:val="true"/>
      <w:overflowPunct w:val="true"/>
      <w:autoSpaceDE w:val="true"/>
      <w:bidi w:val="0"/>
    </w:pPr>
    <w:rPr>
      <w:rFonts w:ascii="Liberation Serif" w:hAnsi="Liberation Serif" w:eastAsia="Droid Sans Fallback" w:cs="FreeSans"/>
      <w:color w:val="auto"/>
      <w:kern w:val="2"/>
      <w:sz w:val="24"/>
      <w:szCs w:val="24"/>
      <w:lang w:val="en-US" w:eastAsia="zh-CN" w:bidi="hi-IN"/>
    </w:rPr>
  </w:style>
  <w:style w:type="paragraph" w:styleId="Heading">
    <w:name w:val="Heading"/>
    <w:basedOn w:val="Normal"/>
    <w:next w:val="TextBody"/>
    <w:qFormat/>
    <w:pPr>
      <w:keepNext w:val="true"/>
      <w:spacing w:before="240" w:after="120"/>
    </w:pPr>
    <w:rPr>
      <w:rFonts w:ascii="Liberation Sans" w:hAnsi="Liberation Sans" w:eastAsia="Droid Sans Fallback" w:cs="Free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11</TotalTime>
  <Application>LibreOffice/6.1.4.2$Linux_X86_64 LibreOffice_project/10$Build-2</Application>
  <Pages>2</Pages>
  <Words>598</Words>
  <CharactersWithSpaces>4512</CharactersWithSpaces>
  <Paragraphs>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2020-03-05T11:20:31Z</dcterms:created>
  <dc:creator/>
  <dc:description/>
  <dc:language>en-US</dc:language>
  <cp:lastModifiedBy/>
  <dcterms:modified xsi:type="dcterms:W3CDTF">2020-03-05T14:19:27Z</dcterms:modified>
  <cp:revision>4</cp:revision>
  <dc:subject/>
  <dc:title/>
</cp:coreProperties>
</file>